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90" w:lineRule="exact"/>
        <w:jc w:val="center"/>
        <w:textAlignment w:val="auto"/>
        <w:outlineLvl w:val="9"/>
        <w:rPr>
          <w:rFonts w:hint="eastAsia" w:ascii="仿宋_GB2312" w:hAnsi="仿宋_GB2312" w:eastAsia="仿宋_GB2312" w:cs="仿宋_GB2312"/>
          <w:b/>
          <w:sz w:val="32"/>
          <w:szCs w:val="32"/>
        </w:rPr>
      </w:pPr>
      <w:r>
        <w:rPr>
          <w:rFonts w:hint="eastAsia" w:ascii="黑体" w:hAnsi="黑体" w:eastAsia="黑体" w:cs="黑体"/>
          <w:b w:val="0"/>
          <w:bCs/>
          <w:sz w:val="44"/>
          <w:szCs w:val="44"/>
          <w:lang w:val="en-US" w:eastAsia="zh-CN"/>
        </w:rPr>
        <w:t xml:space="preserve">第二讲 </w:t>
      </w:r>
      <w:r>
        <w:rPr>
          <w:rFonts w:hint="eastAsia" w:ascii="黑体" w:hAnsi="黑体" w:eastAsia="黑体" w:cs="黑体"/>
          <w:b w:val="0"/>
          <w:bCs/>
          <w:sz w:val="44"/>
          <w:szCs w:val="44"/>
        </w:rPr>
        <w:t>儿童肺结核的诊治</w:t>
      </w: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val="0"/>
          <w:bCs/>
          <w:sz w:val="32"/>
          <w:szCs w:val="32"/>
        </w:rPr>
        <w:t>福州肺科医院    高</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虹</w:t>
      </w: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outlineLvl w:val="9"/>
        <w:rPr>
          <w:rFonts w:hint="eastAsia" w:ascii="仿宋_GB2312" w:hAnsi="仿宋_GB2312" w:eastAsia="仿宋_GB2312" w:cs="仿宋_GB2312"/>
          <w:b/>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世界卫生组织估算，2017年全球新增1040万结核病例，其中儿童患者占104万，有167万人死于结核病，其中25.3万为儿童。儿童结核病目前仍是发展中国家重要的公共问题。肺结核是儿童结核病的主要类型，占70%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80%以上。由于临床症状缺乏特异性，肺部病变中结核分枝杆菌数量少以及留取标本困难，儿童肺结核的诊断存在很大挑战，在全球范围内均存在诊断和报告不足。我国是全球结核病高负担国家，新发病例数仅次于印度位居世界第二位，估计我国现有儿童结核病患者约10万例，但每年报告的肺结核患者仅有5000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8000例。2017年11月9目，中华人民共和国卫生行业新标准《肺结核诊断标准（WS 288—2017）》发布，并于2018年5月1日起施行。新版诊断标准增加了儿童肺结核的诊断要点，对提高儿童肺结核的诊断水平具有重要意义。</w:t>
      </w: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相对于成人，儿童肺结核的临床表现、影像学检查、实验室检查及鉴别诊断等有其相对特殊性。</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12" w:leftChars="0" w:right="-514"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一、</w:t>
      </w:r>
      <w:r>
        <w:rPr>
          <w:rFonts w:hint="eastAsia" w:ascii="仿宋_GB2312" w:hAnsi="仿宋_GB2312" w:eastAsia="仿宋_GB2312" w:cs="仿宋_GB2312"/>
          <w:b/>
          <w:bCs/>
          <w:sz w:val="32"/>
          <w:szCs w:val="32"/>
        </w:rPr>
        <w:t>儿童肺结核的诊断</w:t>
      </w: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儿童肺结核的诊断主要依据如下：</w:t>
      </w: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（一）流行病学史</w:t>
      </w: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儿童肺结核多由罹患活动性肺结核的成人传染而来。因此，明确近期（1年内）与活动性肺结核尤其痰涂片抗酸染色阳性或痰结核分枝杆菌培养阳性的成人患者有密切接触史，对儿童肺结核诊断很有意义。密切接触史指与肺结核患者生活在同一家庭中，或者频繁接触，如儿童看护者和学校人员。5岁以下儿童家庭内传染可能性较大，年长儿童需要注意来自家庭外的传染，如同学和老师等。由于一些成人已患肺结核，但并未就诊，可导致与之密切接触的儿童阳性接触史传达信息错误。若与儿童密切接触的一级和二级亲属、学校和幼儿园老师，其他看护者有明确活动性肺结核史；或者对高度可疑儿童的一级和二级亲属进行胸部X线摄影检查发现活动性肺结核，可作为儿童肺结核的重要诊断依据之一。大约有32％～42％的儿童肺结核能发现明确的活动性结核病患者接触史。</w:t>
      </w: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（二）临床表现</w:t>
      </w: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儿童肺结核通常呼吸道症状和体征相对较少，与影像学检查所见征象不一致；基于症状的评分系统对儿童肺结核的诊断敏感度和特异度都较低。最常见的症状是咳嗽和发热，伴结核中毒症状，如夜间多汗、食欲差和体质量不增或减轻。在免疫功能正常的3岁以上儿童，如表现有持续2周以上不缓解的咳嗽、乏力和生长迟缓，则提示为罹患肺结核的可能。10岁以下儿童多为原发性肺结核，可因气管或支气管旁淋巴结肿大压迫气管或支气管，或发生淋巴结一支气管瘘，而出现喘息症状；对于首次喘息或者持续喘息者，应考虑到罹患肺结核的可能。一些儿童，尤其是急性血行播散性肺结核、干酪性肺炎及继发性肺结核可出现长期发热，对于超过1周以上的发热，也应考虑罹患肺结核的可能。</w:t>
      </w: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（三）影像学检查</w:t>
      </w:r>
    </w:p>
    <w:p>
      <w:pPr>
        <w:keepNext w:val="0"/>
        <w:keepLines w:val="0"/>
        <w:pageBreakBefore w:val="0"/>
        <w:widowControl w:val="0"/>
        <w:kinsoku/>
        <w:wordWrap/>
        <w:overflowPunct/>
        <w:topLinePunct w:val="0"/>
        <w:autoSpaceDE/>
        <w:autoSpaceDN/>
        <w:bidi w:val="0"/>
        <w:adjustRightInd/>
        <w:snapToGrid/>
        <w:spacing w:line="590" w:lineRule="exact"/>
        <w:ind w:right="-514" w:firstLine="42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胸部影像学检查是诊断儿童肺结核的重要依据。肺实质浸润伴有纵隔或肺门淋巴结肿大是原发肺结核的基本影像学特征；随着疾病进展或好转可出现空洞、支气管病变并发肺不张或肺气肿、胸膜病变、血行播散和钙化等，这些征象构成了儿童肺结核影像学表现的复杂性，但同时又具有相对特异性，是区别于其他细菌、支原体和真菌等病原微生物感染的重要特征。 </w:t>
      </w: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胸部X线摄影是怀疑儿童肺结核时首位的影像学检查技术，由于存在观察者阅读胸片的差异性，胸片诊断的敏感度和特异度仅分别为39％和74％。由于胸腺的影响，婴幼儿应同时进行侧位X线胸部摄影，以协助评估肺门和纵隔情况。对于病情复杂的患者，建议进一步行胸部CT扫描。胸部CT扫描有助于发现肺门或纵隔肿大淋巴结，以及常规胸部X线摄影不易发现的结核病灶、空洞病变和早期粟粒影。通过肺CT扫描气道重建，可以观察气管支气管的受累情况，部分诊断困难者通过CT增强检查可以发现肺实变内低密度坏死灶，以及淋巴结肿大中央低密度、周围呈环形强化的特征性改变。胸部超声检查对于评价纵隔淋巴结肿大和鉴别游离或分隔状胸腔积液有价值。</w:t>
      </w: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（四）细菌学检查</w:t>
      </w: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细菌学检查阳性是肺结核诊断的金标准，但小儿原发性结核病灶中含菌量少，痰细菌学检查阳性率低，痰涂片阳性率一般低于15％，培养阳性率一般低于30％～40％。因此对于儿童肺结核不能主要依靠细菌学诊断，而应该重视临床诊断。当原发性肺结核并发支气管结核、急性播散性肺结核或者继发性肺结核出现支气管播散时，尤其是病情较重者，细菌学检查尤其是培养阳性率明显提高，可高达50％以上，这时细菌学检查对于不典型或者病情严重患者的诊断非常重要。</w:t>
      </w: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标本收集方法对细菌学检查阳性率也有一定影响。对怀疑肺结核的儿童应尽可能留取2份以上合格标本进行结核分枝杆菌涂片和培养，有条件者可同时进行药物敏感性试验（简称“药敏试验”）以指导临床治疗。学龄儿童可通过自发咳痰留取痰标本，但婴幼儿不会咳痰，入睡时呼吸道的纤毛运动将含有结核分枝杆菌的痰液送至喉部，然后吞咽至胃内，可连续3次清晨空腹取胃液进行病原学检查，胃液培养阳性率可达25％～60％。诱导痰取痰标本对任何年龄儿童都安全可行，患儿先雾化吸入支气管扩张剂，然后雾化3％～5％的高张盐水15分钟，最后年长儿可自行咳出痰液，而婴幼儿通过吸痰管吸取鼻咽部痰液作为痰标本，诱导痰得到的阳性细菌学结果与胃液相当。鼻咽吸取痰液较取胃液侵袭性较小，不需禁食，细菌培养阳性率也可与胃液相当。支气管肺泡灌洗液适用于需要支气管镜检查和治疗的患儿，阳性率低于胃液。儿童吞咽进入消化道的结核分枝杆菌可以通过粪便排出，可留取粪便标本进行培养，易于被患儿接受。另外，通过改进痰涂片和培养技术也可提高病原学检查的阳性率，如使用荧光显微镜观察可提高痰涂片阳性率；液体培养系统如显微镜下观察药敏试验(MODS)培养与固体培养相比较，检出敏感度均提高（分别为46％和38</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9％），平均检测时间由32d缩短至7d 。</w:t>
      </w: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（五）分子生物学检查</w:t>
      </w:r>
    </w:p>
    <w:p>
      <w:pPr>
        <w:keepNext w:val="0"/>
        <w:keepLines w:val="0"/>
        <w:pageBreakBefore w:val="0"/>
        <w:widowControl w:val="0"/>
        <w:kinsoku/>
        <w:wordWrap/>
        <w:overflowPunct/>
        <w:topLinePunct w:val="0"/>
        <w:autoSpaceDE/>
        <w:autoSpaceDN/>
        <w:bidi w:val="0"/>
        <w:adjustRightInd/>
        <w:snapToGrid/>
        <w:spacing w:line="590" w:lineRule="exact"/>
        <w:ind w:right="-514" w:firstLine="3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儿童肺结核相对感染结核分枝杆菌量少，传统的细菌学检查如涂片和培养阳性率低而且耗时长，以PCR技术为基础的分子生物学方法可以通过检测临床标本中拷贝数很低的结核分枝杆菌DNA而确定诊断，因而具有较高的敏感度和特异度，其检测结果通常可以在1～2 d内获得，可用于快速早期诊断。研究表明，应用核酸扩增技术(NAATs)检测培养阳性儿童肺结核呼吸道标本的敏感度为95％～100％，对培养阴性患者的敏感度也可达到50％～60％。PCR技术的缺点是操作复杂，需要良好的实验室条件，易于污染而出现假阳性，因此其结果需要结合临床症状和影像学表现进行综合分析。</w:t>
      </w: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新型分子检测技术——利福平耐药实时荧光定量核酸扩增检测(Xpert MTB／RIF)以全自动半巢式实时PCR技术为基础，以rpoB基因为靶基因，可以在2h内同时检测结核分枝杆菌DNA和利福平耐药。研究表明，Xpert MTB／RIF检测具有较高敏感度和良好特异度，并且具有快速、操作简单和生物安全性高等优点。Xpert MTB／RIF检测痰或胃液标本，对于培养阳性儿童肺结核检测的敏感度和特异度分别为62％～68％和98％～100％，阳性率是涂片镜检的17倍。Xpert MTB／RIF除了用于检测呼吸道标本(如痰、胃液、鼻咽吸取物或支气管肺泡灌洗液)外，也可以用于检测粪便标本，培养阳性的儿童肺结核粪便Xpert MTB／RIF检测的敏感度为47％。</w:t>
      </w: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2014年wHO推荐Xpert MTB／RIF用于所有怀疑儿童结核病初始的诊断试验，Xpert MTB／RIF检测阳性结果可作为儿童肺结核病原学确诊的依据。</w:t>
      </w: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（六）病理学检查</w:t>
      </w:r>
    </w:p>
    <w:p>
      <w:pPr>
        <w:keepNext w:val="0"/>
        <w:keepLines w:val="0"/>
        <w:pageBreakBefore w:val="0"/>
        <w:widowControl w:val="0"/>
        <w:kinsoku/>
        <w:wordWrap/>
        <w:overflowPunct/>
        <w:topLinePunct w:val="0"/>
        <w:autoSpaceDE/>
        <w:autoSpaceDN/>
        <w:bidi w:val="0"/>
        <w:adjustRightInd/>
        <w:snapToGrid/>
        <w:spacing w:line="590" w:lineRule="exact"/>
        <w:ind w:right="-514" w:firstLine="3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组织病理学检查对于儿童肺结核有确诊价值，若病理改变中未找到结核分枝杆菌，需要结合临床和影像学表现以除外真菌感染等疾病引起的肉芽肿改变。纵隔淋巴结、肺和胸膜活检均为有创检查，由于受到家长接受程度及技术水平的影响，一般仅在病原学检测阴性及临床考虑结核病与肺、纵隔或胸膜恶性疾病不能鉴别时才考虑采用上述活检技术。</w:t>
      </w: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（七）免疫学检查</w:t>
      </w: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结核菌素皮肤试验(TST)和γ干扰素释放试验(IGRA)对儿童肺结核有重要的辅助诊断价值。目前，TST仍然是诊断结核感染的主要方法，我国新版肺结核诊断标准更新了TST阳性判定标准和结核感染TST判定标准。TST缺点是判断结果存在主观差异，儿童接种卡介苗后和非结核分枝杆菌感染后可呈阳性，而严重肺结核患者进行TST检测可呈假阴性。</w:t>
      </w:r>
    </w:p>
    <w:p>
      <w:pPr>
        <w:keepNext w:val="0"/>
        <w:keepLines w:val="0"/>
        <w:pageBreakBefore w:val="0"/>
        <w:widowControl w:val="0"/>
        <w:kinsoku/>
        <w:wordWrap/>
        <w:overflowPunct/>
        <w:topLinePunct w:val="0"/>
        <w:autoSpaceDE/>
        <w:autoSpaceDN/>
        <w:bidi w:val="0"/>
        <w:adjustRightInd/>
        <w:snapToGrid/>
        <w:spacing w:line="590" w:lineRule="exact"/>
        <w:ind w:right="-514" w:firstLine="3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结核菌素皮肤试验方法：72h（48h-96h）检查反应，以皮肤硬结为准：</w:t>
      </w:r>
    </w:p>
    <w:p>
      <w:pPr>
        <w:keepNext w:val="0"/>
        <w:keepLines w:val="0"/>
        <w:pageBreakBefore w:val="0"/>
        <w:widowControl w:val="0"/>
        <w:kinsoku/>
        <w:wordWrap/>
        <w:overflowPunct/>
        <w:topLinePunct w:val="0"/>
        <w:autoSpaceDE/>
        <w:autoSpaceDN/>
        <w:bidi w:val="0"/>
        <w:adjustRightInd/>
        <w:snapToGrid/>
        <w:spacing w:line="590" w:lineRule="exact"/>
        <w:ind w:right="-514" w:firstLine="3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阴性反应(-)：硬结平均直径＜5mm或无反应者为阴性。</w:t>
      </w:r>
    </w:p>
    <w:p>
      <w:pPr>
        <w:keepNext w:val="0"/>
        <w:keepLines w:val="0"/>
        <w:pageBreakBefore w:val="0"/>
        <w:widowControl w:val="0"/>
        <w:kinsoku/>
        <w:wordWrap/>
        <w:overflowPunct/>
        <w:topLinePunct w:val="0"/>
        <w:autoSpaceDE/>
        <w:autoSpaceDN/>
        <w:bidi w:val="0"/>
        <w:adjustRightInd/>
        <w:snapToGrid/>
        <w:spacing w:line="590" w:lineRule="exact"/>
        <w:ind w:right="-514" w:firstLine="3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阳性反应(+)：阳性：硬结平均直径≥5mm者</w:t>
      </w:r>
    </w:p>
    <w:p>
      <w:pPr>
        <w:keepNext w:val="0"/>
        <w:keepLines w:val="0"/>
        <w:pageBreakBefore w:val="0"/>
        <w:widowControl w:val="0"/>
        <w:kinsoku/>
        <w:wordWrap/>
        <w:overflowPunct/>
        <w:topLinePunct w:val="0"/>
        <w:autoSpaceDE/>
        <w:autoSpaceDN/>
        <w:bidi w:val="0"/>
        <w:adjustRightInd/>
        <w:snapToGrid/>
        <w:spacing w:line="590" w:lineRule="exact"/>
        <w:ind w:right="-514" w:firstLine="3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一般阳性：硬结平均直径≥5mm，＜10mm；</w:t>
      </w:r>
    </w:p>
    <w:p>
      <w:pPr>
        <w:keepNext w:val="0"/>
        <w:keepLines w:val="0"/>
        <w:pageBreakBefore w:val="0"/>
        <w:widowControl w:val="0"/>
        <w:kinsoku/>
        <w:wordWrap/>
        <w:overflowPunct/>
        <w:topLinePunct w:val="0"/>
        <w:autoSpaceDE/>
        <w:autoSpaceDN/>
        <w:bidi w:val="0"/>
        <w:adjustRightInd/>
        <w:snapToGrid/>
        <w:spacing w:line="590" w:lineRule="exact"/>
        <w:ind w:right="-514" w:firstLine="3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中度阳性：硬结平均直径≥10mm，＜15mm；</w:t>
      </w:r>
    </w:p>
    <w:p>
      <w:pPr>
        <w:keepNext w:val="0"/>
        <w:keepLines w:val="0"/>
        <w:pageBreakBefore w:val="0"/>
        <w:widowControl w:val="0"/>
        <w:kinsoku/>
        <w:wordWrap/>
        <w:overflowPunct/>
        <w:topLinePunct w:val="0"/>
        <w:autoSpaceDE/>
        <w:autoSpaceDN/>
        <w:bidi w:val="0"/>
        <w:adjustRightInd/>
        <w:snapToGrid/>
        <w:spacing w:line="590" w:lineRule="exact"/>
        <w:ind w:right="-514" w:firstLine="3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强阳性：硬结平均直径≥15mm或局部出现双圈、水泡、坏死及淋巴管炎者。</w:t>
      </w: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IGRA是以结核分枝杆菌特异性抗原早期分泌抗原靶-6(ESAT-6)和培养滤液蛋白-10(CFP-10)刺激活化T细胞，通过免疫学方法体外检测γ干扰素释放的免疫学技术。目前有2种相关的方法：结核感染T细胞斑点试验(T-SPOT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TB)和Quanti-FERON-TB Gold In-Tube(QFT-GIT)。IGRA不受接种卡介苗和大多数非结核分枝杆菌感染的影响，因而有更好的特异度，但与TST相比其敏感度并未显现优势。研究表明，TST、T-SPOT．TB和QFT-GIT诊断儿童活动性结核病的敏感度分别为88</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2％、88</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5％和89</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6％，三者差异均无统计学意义，但QFT-GIT和T_SPOT．TB的特异度分别为95．4％和96．8％，高于TST的86．3%。IGRA在5岁以下儿童有较高比例出现不确定的结果，而且需要静脉取血，价格昂贵，所以对于中低收入国家WHO不推荐使用IGRA替代TST用于怀疑儿童肺结核的诊断；根据我国国情，目前优先推荐使用TST。</w:t>
      </w: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通过免疫学方法可检测血清结核分枝杆菌抗体，但由于敏感度和特异度变异度大不被世界卫生组织推荐，但儿童肺结核病原检测阳性率低，大多为菌阴肺结核，血清结核分枝杆菌抗体检测具有简便快速等优点，选择高敏感度和特异度的抗原或抗原组合进行血清学抗体检测对儿童肺结核仍具有一定的辅助诊断价值。</w:t>
      </w: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（八）支气管镜检查</w:t>
      </w:r>
    </w:p>
    <w:p>
      <w:pPr>
        <w:keepNext w:val="0"/>
        <w:keepLines w:val="0"/>
        <w:pageBreakBefore w:val="0"/>
        <w:widowControl w:val="0"/>
        <w:kinsoku/>
        <w:wordWrap/>
        <w:overflowPunct/>
        <w:topLinePunct w:val="0"/>
        <w:autoSpaceDE/>
        <w:autoSpaceDN/>
        <w:bidi w:val="0"/>
        <w:adjustRightInd/>
        <w:snapToGrid/>
        <w:spacing w:line="590" w:lineRule="exact"/>
        <w:ind w:right="-514" w:firstLine="3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儿童原发肺结核常并发支气管结核，尤其多见于2岁以下儿童，其发生率可达55%。当临床症状或胸部影像学检查结果考虑有气道受累，应进行支气管镜检查。支气管镜检查可发现支气管腔内息肉样肿块、干酪性坏死、溃疡、肉芽增生，以及管腔外压迫造成的狭窄和阻塞，最常受累的为右中叶支气管(72％)，其次为左主支气管(62％)。也可以抽吸分泌物、刷检及活检进行病原学或病理学检查；通过留取支气管肺泡灌洗液进行培养其阳性率为28％～44％，对肺结核和支气管结核诊断非常有帮助。</w:t>
      </w: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（九）诊断和鉴别诊断</w:t>
      </w:r>
    </w:p>
    <w:p>
      <w:pPr>
        <w:keepNext w:val="0"/>
        <w:keepLines w:val="0"/>
        <w:pageBreakBefore w:val="0"/>
        <w:widowControl w:val="0"/>
        <w:kinsoku/>
        <w:wordWrap/>
        <w:overflowPunct/>
        <w:topLinePunct w:val="0"/>
        <w:autoSpaceDE/>
        <w:autoSpaceDN/>
        <w:bidi w:val="0"/>
        <w:adjustRightInd/>
        <w:snapToGrid/>
        <w:spacing w:line="590" w:lineRule="exact"/>
        <w:ind w:right="-514" w:firstLine="3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儿童肺结核的诊断应根据临床表现、胸部影像学表现，以及病原学(包括细菌学、分子生物学)检查结果，结合有无活动性结核病患者接触史和结核感染的证据进行综合判断。病原学检测或组织病理学检测阳性者可作为确诊依据，应尽可能留取2份以上合格标本(包括胃液、痰液、鼻咽吸取物和支气管肺泡灌洗液等)进行涂片镜检、固体培养、液体培养及分子生物学检测，以增加病原学检测的阳性率。Xpert MTB／RIF检测阳性可作为儿童肺结核病原学确诊的依据。病原学检测阴性，但具有典型临床症状和影像学证据，同时具有与活动性结核病患者的接触史、结核菌素皮肤试验阳性和(或)γ干扰素释放试验阳性，可临床诊断儿童肺结核；对于儿童肺结核这种少菌性疾病，临床诊断显得十分重要。除此之外，抗结核药物治疗效果也可作为儿童肺结核的诊断依据之一。</w:t>
      </w:r>
    </w:p>
    <w:p>
      <w:pPr>
        <w:keepNext w:val="0"/>
        <w:keepLines w:val="0"/>
        <w:pageBreakBefore w:val="0"/>
        <w:widowControl w:val="0"/>
        <w:kinsoku/>
        <w:wordWrap/>
        <w:overflowPunct/>
        <w:topLinePunct w:val="0"/>
        <w:autoSpaceDE/>
        <w:autoSpaceDN/>
        <w:bidi w:val="0"/>
        <w:adjustRightInd/>
        <w:snapToGrid/>
        <w:spacing w:line="590" w:lineRule="exact"/>
        <w:ind w:right="-514" w:firstLine="3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儿童肺结核鉴别诊断的疾病谱也与成人有所不同。儿童原发性肺结核主要应该与细菌性肺炎、隐球菌肺炎、肺不张及纵隔淋巴瘤鉴别。儿童干酪性肺炎大多由原发性肺结核进展而来，需要与先天性肺囊肿、细菌性肺脓肿和肺曲霉菌病鉴别。血行播散性肺结核应该与病毒性肺炎、衣原体肺炎、朗格罕组织细胞增生症、淋巴瘤、过敏性肺泡炎和特发性肺含铁血黄素沉着症等鉴别。继发性肺结核与支原体肺炎发病年龄相似，容易误诊。儿童结核性胸膜炎主要应该与支原体感染引起的胸膜炎、化脓性胸膜炎以及淋巴瘤引起的胸腔积液相鉴别。</w:t>
      </w:r>
    </w:p>
    <w:p>
      <w:pPr>
        <w:keepNext w:val="0"/>
        <w:keepLines w:val="0"/>
        <w:pageBreakBefore w:val="0"/>
        <w:widowControl w:val="0"/>
        <w:kinsoku/>
        <w:wordWrap/>
        <w:overflowPunct/>
        <w:topLinePunct w:val="0"/>
        <w:autoSpaceDE/>
        <w:autoSpaceDN/>
        <w:bidi w:val="0"/>
        <w:adjustRightInd/>
        <w:snapToGrid/>
        <w:spacing w:line="590" w:lineRule="exact"/>
        <w:ind w:firstLine="420"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二、儿童肺结核的治疗</w:t>
      </w:r>
    </w:p>
    <w:p>
      <w:pPr>
        <w:keepNext w:val="0"/>
        <w:keepLines w:val="0"/>
        <w:pageBreakBefore w:val="0"/>
        <w:widowControl w:val="0"/>
        <w:kinsoku/>
        <w:wordWrap/>
        <w:overflowPunct/>
        <w:topLinePunct w:val="0"/>
        <w:autoSpaceDE/>
        <w:autoSpaceDN/>
        <w:bidi w:val="0"/>
        <w:adjustRightInd/>
        <w:snapToGrid/>
        <w:spacing w:line="590" w:lineRule="exact"/>
        <w:ind w:right="-514" w:firstLine="36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 （一）治疗原则：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514"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1.</w:t>
      </w:r>
      <w:r>
        <w:rPr>
          <w:rFonts w:hint="eastAsia" w:ascii="仿宋_GB2312" w:hAnsi="仿宋_GB2312" w:eastAsia="仿宋_GB2312" w:cs="仿宋_GB2312"/>
          <w:b/>
          <w:bCs/>
          <w:sz w:val="32"/>
          <w:szCs w:val="32"/>
        </w:rPr>
        <w:t>早期治疗：</w:t>
      </w:r>
      <w:r>
        <w:rPr>
          <w:rFonts w:hint="eastAsia" w:ascii="仿宋_GB2312" w:hAnsi="仿宋_GB2312" w:eastAsia="仿宋_GB2312" w:cs="仿宋_GB2312"/>
          <w:sz w:val="32"/>
          <w:szCs w:val="32"/>
        </w:rPr>
        <w:t>①早期病变中的细菌多，生长繁殖迅速，代谢活跃，药物最易发挥作用；②早期病变较易恢复。</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514"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2.</w:t>
      </w:r>
      <w:r>
        <w:rPr>
          <w:rFonts w:hint="eastAsia" w:ascii="仿宋_GB2312" w:hAnsi="仿宋_GB2312" w:eastAsia="仿宋_GB2312" w:cs="仿宋_GB2312"/>
          <w:b/>
          <w:bCs/>
          <w:sz w:val="32"/>
          <w:szCs w:val="32"/>
        </w:rPr>
        <w:t>剂量适宜：</w:t>
      </w:r>
      <w:r>
        <w:rPr>
          <w:rFonts w:hint="eastAsia" w:ascii="仿宋_GB2312" w:hAnsi="仿宋_GB2312" w:eastAsia="仿宋_GB2312" w:cs="仿宋_GB2312"/>
          <w:sz w:val="32"/>
          <w:szCs w:val="32"/>
        </w:rPr>
        <w:t>既能发挥最大杀菌或抑菌作用，同时病人也易耐受，毒性反应不大。剂量不足的害处是①治疗无效；②容易产生耐药菌。</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514"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联合用药：</w:t>
      </w:r>
      <w:r>
        <w:rPr>
          <w:rFonts w:hint="eastAsia" w:ascii="仿宋_GB2312" w:hAnsi="仿宋_GB2312" w:eastAsia="仿宋_GB2312" w:cs="仿宋_GB2312"/>
          <w:sz w:val="32"/>
          <w:szCs w:val="32"/>
        </w:rPr>
        <w:t>①菌群中细菌对药物敏感性不全相同，可有不同比率的自然耐药变异菌存在，联合用药可防止耐药性产生；②联合用药可针对各种代谢状态细菌及细胞内外菌选药，以达到强化疗效的目的。联合用药注意点：①有协同作用者可联用如INH加RFP或PAS，RFP加EMB；②下列情况不能随意联用：副作用相同者；有交叉耐药者；有拮抗作用者；效力太弱者。</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514"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规律用药：</w:t>
      </w:r>
      <w:r>
        <w:rPr>
          <w:rFonts w:hint="eastAsia" w:ascii="仿宋_GB2312" w:hAnsi="仿宋_GB2312" w:eastAsia="仿宋_GB2312" w:cs="仿宋_GB2312"/>
          <w:sz w:val="32"/>
          <w:szCs w:val="32"/>
        </w:rPr>
        <w:t>治疗期间每日连续服药，不能随意间断，降低耐药。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514"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5.</w:t>
      </w:r>
      <w:r>
        <w:rPr>
          <w:rFonts w:hint="eastAsia" w:ascii="仿宋_GB2312" w:hAnsi="仿宋_GB2312" w:eastAsia="仿宋_GB2312" w:cs="仿宋_GB2312"/>
          <w:b/>
          <w:bCs/>
          <w:sz w:val="32"/>
          <w:szCs w:val="32"/>
        </w:rPr>
        <w:t>坚持全程：</w:t>
      </w:r>
      <w:r>
        <w:rPr>
          <w:rFonts w:hint="eastAsia" w:ascii="仿宋_GB2312" w:hAnsi="仿宋_GB2312" w:eastAsia="仿宋_GB2312" w:cs="仿宋_GB2312"/>
          <w:sz w:val="32"/>
          <w:szCs w:val="32"/>
        </w:rPr>
        <w:t>化疗要坚持全程，目的在于消灭患者体内生长缓慢及细胞内存活的结核菌，防止复发。</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514"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6.</w:t>
      </w:r>
      <w:r>
        <w:rPr>
          <w:rFonts w:hint="eastAsia" w:ascii="仿宋_GB2312" w:hAnsi="仿宋_GB2312" w:eastAsia="仿宋_GB2312" w:cs="仿宋_GB2312"/>
          <w:b/>
          <w:bCs/>
          <w:sz w:val="32"/>
          <w:szCs w:val="32"/>
        </w:rPr>
        <w:t>分段治疗：</w:t>
      </w: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①强化阶段：</w:t>
      </w:r>
      <w:r>
        <w:rPr>
          <w:rFonts w:hint="eastAsia" w:ascii="仿宋_GB2312" w:hAnsi="仿宋_GB2312" w:eastAsia="仿宋_GB2312" w:cs="仿宋_GB2312"/>
          <w:sz w:val="32"/>
          <w:szCs w:val="32"/>
        </w:rPr>
        <w:t>用强有力的药物联合治疗，目的在于迅速消灭敏感菌及生长分裂活跃的细菌。一般为2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3个月，是化疗的关键阶段，一般联合使用异烟肼（INH，H）、利福平（RFP，R）、吡嗪酰胺（PZA，Z），重症结核加用链霉素（SM，S），有表达能力的儿童也可加乙胺丁醇（EMB，E）。</w:t>
      </w: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②巩固（继续）阶段：</w:t>
      </w:r>
      <w:r>
        <w:rPr>
          <w:rFonts w:hint="eastAsia" w:ascii="仿宋_GB2312" w:hAnsi="仿宋_GB2312" w:eastAsia="仿宋_GB2312" w:cs="仿宋_GB2312"/>
          <w:sz w:val="32"/>
          <w:szCs w:val="32"/>
        </w:rPr>
        <w:t>目的在于消灭生长缓慢及细胞内存活的结核菌，巩固治疗效果，防止复发。一般为4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6个月。巩固阶段一般使用异烟肼、利福平。</w:t>
      </w:r>
    </w:p>
    <w:p>
      <w:pPr>
        <w:keepNext w:val="0"/>
        <w:keepLines w:val="0"/>
        <w:pageBreakBefore w:val="0"/>
        <w:widowControl w:val="0"/>
        <w:kinsoku/>
        <w:wordWrap/>
        <w:overflowPunct/>
        <w:topLinePunct w:val="0"/>
        <w:autoSpaceDE/>
        <w:autoSpaceDN/>
        <w:bidi w:val="0"/>
        <w:adjustRightInd/>
        <w:snapToGrid/>
        <w:spacing w:line="590" w:lineRule="exact"/>
        <w:ind w:right="-514" w:firstLine="420"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（二）主要抗结核药物：</w:t>
      </w:r>
    </w:p>
    <w:p>
      <w:pPr>
        <w:keepNext w:val="0"/>
        <w:keepLines w:val="0"/>
        <w:pageBreakBefore w:val="0"/>
        <w:widowControl w:val="0"/>
        <w:kinsoku/>
        <w:wordWrap/>
        <w:overflowPunct/>
        <w:topLinePunct w:val="0"/>
        <w:autoSpaceDE/>
        <w:autoSpaceDN/>
        <w:bidi w:val="0"/>
        <w:adjustRightInd/>
        <w:snapToGrid/>
        <w:spacing w:line="590" w:lineRule="exact"/>
        <w:ind w:right="-514" w:firstLine="42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主要抗结核药物的剂量、用法和副作用见表1</w:t>
      </w:r>
    </w:p>
    <w:p>
      <w:pPr>
        <w:keepNext w:val="0"/>
        <w:keepLines w:val="0"/>
        <w:pageBreakBefore w:val="0"/>
        <w:widowControl w:val="0"/>
        <w:kinsoku/>
        <w:wordWrap/>
        <w:overflowPunct/>
        <w:topLinePunct w:val="0"/>
        <w:autoSpaceDE/>
        <w:autoSpaceDN/>
        <w:bidi w:val="0"/>
        <w:adjustRightInd/>
        <w:snapToGrid/>
        <w:spacing w:line="590" w:lineRule="exact"/>
        <w:ind w:right="-514" w:firstLine="420"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注意事项：</w:t>
      </w:r>
    </w:p>
    <w:p>
      <w:pPr>
        <w:keepNext w:val="0"/>
        <w:keepLines w:val="0"/>
        <w:pageBreakBefore w:val="0"/>
        <w:widowControl w:val="0"/>
        <w:kinsoku/>
        <w:wordWrap/>
        <w:overflowPunct/>
        <w:topLinePunct w:val="0"/>
        <w:autoSpaceDE/>
        <w:autoSpaceDN/>
        <w:bidi w:val="0"/>
        <w:adjustRightInd/>
        <w:snapToGrid/>
        <w:spacing w:line="590" w:lineRule="exact"/>
        <w:ind w:right="-514" w:firstLine="42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1.小儿联合使用异烟肼、利福平时，二者剂量最好各不超过 10mg/（kg·d），以免损害肝脏功能。</w:t>
      </w:r>
    </w:p>
    <w:p>
      <w:pPr>
        <w:pStyle w:val="6"/>
        <w:keepNext w:val="0"/>
        <w:keepLines w:val="0"/>
        <w:pageBreakBefore w:val="0"/>
        <w:widowControl w:val="0"/>
        <w:tabs>
          <w:tab w:val="left" w:pos="868"/>
        </w:tabs>
        <w:kinsoku/>
        <w:wordWrap/>
        <w:overflowPunct/>
        <w:topLinePunct w:val="0"/>
        <w:autoSpaceDE/>
        <w:autoSpaceDN/>
        <w:bidi w:val="0"/>
        <w:adjustRightInd/>
        <w:snapToGrid/>
        <w:spacing w:before="0" w:line="590" w:lineRule="exact"/>
        <w:ind w:left="0" w:right="-514" w:rightChars="0" w:firstLine="420" w:firstLineChars="200"/>
        <w:jc w:val="both"/>
        <w:textAlignment w:val="auto"/>
        <w:outlineLvl w:val="9"/>
        <w:rPr>
          <w:rFonts w:hint="eastAsia" w:ascii="仿宋_GB2312" w:hAnsi="仿宋_GB2312" w:eastAsia="仿宋_GB2312" w:cs="仿宋_GB2312"/>
          <w:spacing w:val="2"/>
          <w:w w:val="105"/>
          <w:sz w:val="32"/>
          <w:szCs w:val="32"/>
        </w:rPr>
      </w:pPr>
      <w:r>
        <w:rPr>
          <w:rFonts w:hint="eastAsia" w:ascii="仿宋_GB2312" w:hAnsi="仿宋_GB2312" w:eastAsia="仿宋_GB2312" w:cs="仿宋_GB2312"/>
          <w:sz w:val="32"/>
          <w:szCs w:val="32"/>
          <w:lang w:val="en-US" w:bidi="ar-SA"/>
        </w:rPr>
        <w:t>2.使用SM时，需履行告知义务并进行听力监测，家族中有药物性耳聋的患儿应禁用。剂量以不超过 20mg /（kg·d）为宜，最大量为0.75mg/d。</w:t>
      </w:r>
    </w:p>
    <w:tbl>
      <w:tblPr>
        <w:tblStyle w:val="5"/>
        <w:tblW w:w="9552" w:type="dxa"/>
        <w:jc w:val="center"/>
        <w:tblInd w:w="251" w:type="dxa"/>
        <w:tblLayout w:type="fixed"/>
        <w:tblCellMar>
          <w:top w:w="0" w:type="dxa"/>
          <w:left w:w="0" w:type="dxa"/>
          <w:bottom w:w="0" w:type="dxa"/>
          <w:right w:w="0" w:type="dxa"/>
        </w:tblCellMar>
      </w:tblPr>
      <w:tblGrid>
        <w:gridCol w:w="1427"/>
        <w:gridCol w:w="2870"/>
        <w:gridCol w:w="1999"/>
        <w:gridCol w:w="3256"/>
      </w:tblGrid>
      <w:tr>
        <w:tblPrEx>
          <w:tblLayout w:type="fixed"/>
          <w:tblCellMar>
            <w:top w:w="0" w:type="dxa"/>
            <w:left w:w="0" w:type="dxa"/>
            <w:bottom w:w="0" w:type="dxa"/>
            <w:right w:w="0" w:type="dxa"/>
          </w:tblCellMar>
        </w:tblPrEx>
        <w:trPr>
          <w:trHeight w:val="275" w:hRule="atLeast"/>
          <w:jc w:val="center"/>
        </w:trPr>
        <w:tc>
          <w:tcPr>
            <w:tcW w:w="9552" w:type="dxa"/>
            <w:gridSpan w:val="4"/>
            <w:tcBorders>
              <w:bottom w:val="single" w:color="000000" w:sz="8" w:space="0"/>
            </w:tcBorders>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bidi="ar-SA"/>
              </w:rPr>
              <w:t>表 1</w:t>
            </w:r>
            <w:r>
              <w:rPr>
                <w:rFonts w:hint="eastAsia" w:ascii="仿宋_GB2312" w:hAnsi="仿宋_GB2312" w:eastAsia="仿宋_GB2312" w:cs="仿宋_GB2312"/>
                <w:b/>
                <w:bCs/>
                <w:sz w:val="32"/>
                <w:szCs w:val="32"/>
                <w:lang w:val="en-US" w:eastAsia="zh-CN" w:bidi="ar-SA"/>
              </w:rPr>
              <w:t xml:space="preserve">  </w:t>
            </w:r>
            <w:r>
              <w:rPr>
                <w:rFonts w:hint="eastAsia" w:ascii="仿宋_GB2312" w:hAnsi="仿宋_GB2312" w:eastAsia="仿宋_GB2312" w:cs="仿宋_GB2312"/>
                <w:b/>
                <w:bCs/>
                <w:sz w:val="32"/>
                <w:szCs w:val="32"/>
                <w:lang w:val="en-US" w:bidi="ar-SA"/>
              </w:rPr>
              <w:t>小儿抗结核药物</w:t>
            </w:r>
          </w:p>
        </w:tc>
      </w:tr>
      <w:tr>
        <w:tblPrEx>
          <w:tblLayout w:type="fixed"/>
          <w:tblCellMar>
            <w:top w:w="0" w:type="dxa"/>
            <w:left w:w="0" w:type="dxa"/>
            <w:bottom w:w="0" w:type="dxa"/>
            <w:right w:w="0" w:type="dxa"/>
          </w:tblCellMar>
        </w:tblPrEx>
        <w:trPr>
          <w:trHeight w:val="223" w:hRule="atLeast"/>
          <w:jc w:val="center"/>
        </w:trPr>
        <w:tc>
          <w:tcPr>
            <w:tcW w:w="1427" w:type="dxa"/>
            <w:tcBorders>
              <w:top w:val="single" w:color="000000" w:sz="8" w:space="0"/>
              <w:bottom w:val="single" w:color="000000" w:sz="4" w:space="0"/>
            </w:tcBorders>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ind w:left="160"/>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药物名称</w:t>
            </w:r>
          </w:p>
        </w:tc>
        <w:tc>
          <w:tcPr>
            <w:tcW w:w="2870" w:type="dxa"/>
            <w:tcBorders>
              <w:top w:val="single" w:color="000000" w:sz="8" w:space="0"/>
              <w:bottom w:val="single" w:color="000000" w:sz="4" w:space="0"/>
            </w:tcBorders>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剂量［mg（/     kg·d）］</w:t>
            </w:r>
          </w:p>
        </w:tc>
        <w:tc>
          <w:tcPr>
            <w:tcW w:w="1999" w:type="dxa"/>
            <w:tcBorders>
              <w:top w:val="single" w:color="000000" w:sz="8" w:space="0"/>
              <w:bottom w:val="single" w:color="000000" w:sz="4" w:space="0"/>
            </w:tcBorders>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给药途径</w:t>
            </w:r>
          </w:p>
        </w:tc>
        <w:tc>
          <w:tcPr>
            <w:tcW w:w="3256" w:type="dxa"/>
            <w:tcBorders>
              <w:top w:val="single" w:color="000000" w:sz="8" w:space="0"/>
              <w:bottom w:val="single" w:color="000000" w:sz="4" w:space="0"/>
            </w:tcBorders>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主要副作用</w:t>
            </w:r>
          </w:p>
        </w:tc>
      </w:tr>
      <w:tr>
        <w:tblPrEx>
          <w:tblLayout w:type="fixed"/>
          <w:tblCellMar>
            <w:top w:w="0" w:type="dxa"/>
            <w:left w:w="0" w:type="dxa"/>
            <w:bottom w:w="0" w:type="dxa"/>
            <w:right w:w="0" w:type="dxa"/>
          </w:tblCellMar>
        </w:tblPrEx>
        <w:trPr>
          <w:trHeight w:val="242" w:hRule="atLeast"/>
          <w:jc w:val="center"/>
        </w:trPr>
        <w:tc>
          <w:tcPr>
            <w:tcW w:w="1427" w:type="dxa"/>
            <w:tcBorders>
              <w:top w:val="single" w:color="000000" w:sz="4" w:space="0"/>
            </w:tcBorders>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ind w:left="160"/>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异烟肼</w:t>
            </w:r>
          </w:p>
        </w:tc>
        <w:tc>
          <w:tcPr>
            <w:tcW w:w="2870" w:type="dxa"/>
            <w:tcBorders>
              <w:top w:val="single" w:color="000000" w:sz="4" w:space="0"/>
            </w:tcBorders>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10</w:t>
            </w:r>
            <w:r>
              <w:rPr>
                <w:rFonts w:hint="eastAsia" w:ascii="仿宋_GB2312" w:hAnsi="仿宋_GB2312" w:eastAsia="仿宋_GB2312" w:cs="仿宋_GB2312"/>
                <w:sz w:val="32"/>
                <w:szCs w:val="32"/>
                <w:lang w:val="en-US" w:eastAsia="zh-CN" w:bidi="ar-SA"/>
              </w:rPr>
              <w:t>-</w:t>
            </w:r>
            <w:r>
              <w:rPr>
                <w:rFonts w:hint="eastAsia" w:ascii="仿宋_GB2312" w:hAnsi="仿宋_GB2312" w:eastAsia="仿宋_GB2312" w:cs="仿宋_GB2312"/>
                <w:sz w:val="32"/>
                <w:szCs w:val="32"/>
                <w:lang w:val="en-US" w:bidi="ar-SA"/>
              </w:rPr>
              <w:t>15（不&gt; 300mg/d）</w:t>
            </w:r>
          </w:p>
        </w:tc>
        <w:tc>
          <w:tcPr>
            <w:tcW w:w="1999" w:type="dxa"/>
            <w:tcBorders>
              <w:top w:val="single" w:color="000000" w:sz="4" w:space="0"/>
            </w:tcBorders>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口服（可肌注、静滴）</w:t>
            </w:r>
          </w:p>
        </w:tc>
        <w:tc>
          <w:tcPr>
            <w:tcW w:w="3256" w:type="dxa"/>
            <w:tcBorders>
              <w:top w:val="single" w:color="000000" w:sz="4" w:space="0"/>
            </w:tcBorders>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ind w:left="70"/>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肝毒性、末梢神经炎、过敏、皮疹和发热</w:t>
            </w:r>
          </w:p>
        </w:tc>
      </w:tr>
      <w:tr>
        <w:tblPrEx>
          <w:tblLayout w:type="fixed"/>
          <w:tblCellMar>
            <w:top w:w="0" w:type="dxa"/>
            <w:left w:w="0" w:type="dxa"/>
            <w:bottom w:w="0" w:type="dxa"/>
            <w:right w:w="0" w:type="dxa"/>
          </w:tblCellMar>
        </w:tblPrEx>
        <w:trPr>
          <w:trHeight w:val="238" w:hRule="atLeast"/>
          <w:jc w:val="center"/>
        </w:trPr>
        <w:tc>
          <w:tcPr>
            <w:tcW w:w="1427"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ind w:left="160"/>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利福平</w:t>
            </w:r>
          </w:p>
        </w:tc>
        <w:tc>
          <w:tcPr>
            <w:tcW w:w="2870"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10</w:t>
            </w:r>
            <w:r>
              <w:rPr>
                <w:rFonts w:hint="eastAsia" w:ascii="仿宋_GB2312" w:hAnsi="仿宋_GB2312" w:eastAsia="仿宋_GB2312" w:cs="仿宋_GB2312"/>
                <w:sz w:val="32"/>
                <w:szCs w:val="32"/>
                <w:lang w:val="en-US" w:eastAsia="zh-CN" w:bidi="ar-SA"/>
              </w:rPr>
              <w:t>-</w:t>
            </w:r>
            <w:r>
              <w:rPr>
                <w:rFonts w:hint="eastAsia" w:ascii="仿宋_GB2312" w:hAnsi="仿宋_GB2312" w:eastAsia="仿宋_GB2312" w:cs="仿宋_GB2312"/>
                <w:sz w:val="32"/>
                <w:szCs w:val="32"/>
                <w:lang w:val="en-US" w:bidi="ar-SA"/>
              </w:rPr>
              <w:t>20（不&gt; 600mg/d）</w:t>
            </w:r>
          </w:p>
        </w:tc>
        <w:tc>
          <w:tcPr>
            <w:tcW w:w="1999"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口服</w:t>
            </w:r>
          </w:p>
        </w:tc>
        <w:tc>
          <w:tcPr>
            <w:tcW w:w="3256"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ind w:left="70"/>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肝毒性、恶心、呕吐和流感症候群</w:t>
            </w:r>
          </w:p>
        </w:tc>
      </w:tr>
      <w:tr>
        <w:tblPrEx>
          <w:tblLayout w:type="fixed"/>
          <w:tblCellMar>
            <w:top w:w="0" w:type="dxa"/>
            <w:left w:w="0" w:type="dxa"/>
            <w:bottom w:w="0" w:type="dxa"/>
            <w:right w:w="0" w:type="dxa"/>
          </w:tblCellMar>
        </w:tblPrEx>
        <w:trPr>
          <w:trHeight w:val="240" w:hRule="atLeast"/>
          <w:jc w:val="center"/>
        </w:trPr>
        <w:tc>
          <w:tcPr>
            <w:tcW w:w="1427"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ind w:left="160"/>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链霉素</w:t>
            </w:r>
          </w:p>
        </w:tc>
        <w:tc>
          <w:tcPr>
            <w:tcW w:w="2870"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15～25（不&gt; 0</w:t>
            </w:r>
            <w:r>
              <w:rPr>
                <w:rFonts w:hint="eastAsia" w:ascii="仿宋_GB2312" w:hAnsi="仿宋_GB2312" w:eastAsia="仿宋_GB2312" w:cs="仿宋_GB2312"/>
                <w:sz w:val="32"/>
                <w:szCs w:val="32"/>
                <w:lang w:val="en-US" w:eastAsia="zh-CN" w:bidi="ar-SA"/>
              </w:rPr>
              <w:t>.</w:t>
            </w:r>
            <w:r>
              <w:rPr>
                <w:rFonts w:hint="eastAsia" w:ascii="仿宋_GB2312" w:hAnsi="仿宋_GB2312" w:eastAsia="仿宋_GB2312" w:cs="仿宋_GB2312"/>
                <w:sz w:val="32"/>
                <w:szCs w:val="32"/>
                <w:lang w:val="en-US" w:bidi="ar-SA"/>
              </w:rPr>
              <w:t>75g/d）</w:t>
            </w:r>
          </w:p>
        </w:tc>
        <w:tc>
          <w:tcPr>
            <w:tcW w:w="1999"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肌注</w:t>
            </w:r>
          </w:p>
        </w:tc>
        <w:tc>
          <w:tcPr>
            <w:tcW w:w="3256"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ind w:left="70"/>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Ⅷ颅神经损害、肾毒性、过敏、皮疹和发热</w:t>
            </w:r>
          </w:p>
        </w:tc>
      </w:tr>
      <w:tr>
        <w:tblPrEx>
          <w:tblLayout w:type="fixed"/>
          <w:tblCellMar>
            <w:top w:w="0" w:type="dxa"/>
            <w:left w:w="0" w:type="dxa"/>
            <w:bottom w:w="0" w:type="dxa"/>
            <w:right w:w="0" w:type="dxa"/>
          </w:tblCellMar>
        </w:tblPrEx>
        <w:trPr>
          <w:trHeight w:val="237" w:hRule="atLeast"/>
          <w:jc w:val="center"/>
        </w:trPr>
        <w:tc>
          <w:tcPr>
            <w:tcW w:w="1427"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ind w:left="160"/>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吡嗪酰胺</w:t>
            </w:r>
          </w:p>
        </w:tc>
        <w:tc>
          <w:tcPr>
            <w:tcW w:w="2870"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20～30（不&gt;1.5g/ d）</w:t>
            </w:r>
          </w:p>
        </w:tc>
        <w:tc>
          <w:tcPr>
            <w:tcW w:w="1999"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口服</w:t>
            </w:r>
          </w:p>
        </w:tc>
        <w:tc>
          <w:tcPr>
            <w:tcW w:w="3256"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ind w:left="70"/>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肝毒性、高尿酸血症、关节疼、过敏和发热</w:t>
            </w:r>
          </w:p>
        </w:tc>
      </w:tr>
      <w:tr>
        <w:tblPrEx>
          <w:tblLayout w:type="fixed"/>
          <w:tblCellMar>
            <w:top w:w="0" w:type="dxa"/>
            <w:left w:w="0" w:type="dxa"/>
            <w:bottom w:w="0" w:type="dxa"/>
            <w:right w:w="0" w:type="dxa"/>
          </w:tblCellMar>
        </w:tblPrEx>
        <w:trPr>
          <w:trHeight w:val="238" w:hRule="atLeast"/>
          <w:jc w:val="center"/>
        </w:trPr>
        <w:tc>
          <w:tcPr>
            <w:tcW w:w="1427"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ind w:left="160"/>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乙胺丁醇</w:t>
            </w:r>
          </w:p>
        </w:tc>
        <w:tc>
          <w:tcPr>
            <w:tcW w:w="2870"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15～25（不&gt; 0.75g/d）</w:t>
            </w:r>
          </w:p>
        </w:tc>
        <w:tc>
          <w:tcPr>
            <w:tcW w:w="1999"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口服</w:t>
            </w:r>
          </w:p>
        </w:tc>
        <w:tc>
          <w:tcPr>
            <w:tcW w:w="3256"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ind w:left="70"/>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视神经炎、皮疹</w:t>
            </w:r>
          </w:p>
        </w:tc>
      </w:tr>
      <w:tr>
        <w:tblPrEx>
          <w:tblLayout w:type="fixed"/>
          <w:tblCellMar>
            <w:top w:w="0" w:type="dxa"/>
            <w:left w:w="0" w:type="dxa"/>
            <w:bottom w:w="0" w:type="dxa"/>
            <w:right w:w="0" w:type="dxa"/>
          </w:tblCellMar>
        </w:tblPrEx>
        <w:trPr>
          <w:trHeight w:val="238" w:hRule="atLeast"/>
          <w:jc w:val="center"/>
        </w:trPr>
        <w:tc>
          <w:tcPr>
            <w:tcW w:w="1427"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ind w:left="160"/>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乙硫异烟胺</w:t>
            </w:r>
          </w:p>
        </w:tc>
        <w:tc>
          <w:tcPr>
            <w:tcW w:w="2870"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10～15</w:t>
            </w:r>
          </w:p>
        </w:tc>
        <w:tc>
          <w:tcPr>
            <w:tcW w:w="1999"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口服</w:t>
            </w:r>
          </w:p>
        </w:tc>
        <w:tc>
          <w:tcPr>
            <w:tcW w:w="3256"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ind w:left="70"/>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胃肠道反应、肝毒性、神经毒性</w:t>
            </w:r>
          </w:p>
        </w:tc>
      </w:tr>
      <w:tr>
        <w:tblPrEx>
          <w:tblLayout w:type="fixed"/>
          <w:tblCellMar>
            <w:top w:w="0" w:type="dxa"/>
            <w:left w:w="0" w:type="dxa"/>
            <w:bottom w:w="0" w:type="dxa"/>
            <w:right w:w="0" w:type="dxa"/>
          </w:tblCellMar>
        </w:tblPrEx>
        <w:trPr>
          <w:trHeight w:val="238" w:hRule="atLeast"/>
          <w:jc w:val="center"/>
        </w:trPr>
        <w:tc>
          <w:tcPr>
            <w:tcW w:w="1427"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ind w:left="160"/>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丙硫异烟胺</w:t>
            </w:r>
          </w:p>
        </w:tc>
        <w:tc>
          <w:tcPr>
            <w:tcW w:w="2870"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jc w:val="center"/>
              <w:textAlignment w:val="auto"/>
              <w:outlineLvl w:val="9"/>
              <w:rPr>
                <w:rFonts w:hint="eastAsia" w:ascii="仿宋_GB2312" w:hAnsi="仿宋_GB2312" w:eastAsia="仿宋_GB2312" w:cs="仿宋_GB2312"/>
                <w:sz w:val="32"/>
                <w:szCs w:val="32"/>
                <w:lang w:val="en-US" w:bidi="ar-SA"/>
              </w:rPr>
            </w:pPr>
          </w:p>
        </w:tc>
        <w:tc>
          <w:tcPr>
            <w:tcW w:w="1999"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jc w:val="center"/>
              <w:textAlignment w:val="auto"/>
              <w:outlineLvl w:val="9"/>
              <w:rPr>
                <w:rFonts w:hint="eastAsia" w:ascii="仿宋_GB2312" w:hAnsi="仿宋_GB2312" w:eastAsia="仿宋_GB2312" w:cs="仿宋_GB2312"/>
                <w:sz w:val="32"/>
                <w:szCs w:val="32"/>
                <w:lang w:val="en-US" w:bidi="ar-SA"/>
              </w:rPr>
            </w:pPr>
          </w:p>
        </w:tc>
        <w:tc>
          <w:tcPr>
            <w:tcW w:w="3256"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ind w:left="71"/>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过敏、皮疹和发热</w:t>
            </w:r>
          </w:p>
        </w:tc>
      </w:tr>
      <w:tr>
        <w:tblPrEx>
          <w:tblLayout w:type="fixed"/>
          <w:tblCellMar>
            <w:top w:w="0" w:type="dxa"/>
            <w:left w:w="0" w:type="dxa"/>
            <w:bottom w:w="0" w:type="dxa"/>
            <w:right w:w="0" w:type="dxa"/>
          </w:tblCellMar>
        </w:tblPrEx>
        <w:trPr>
          <w:trHeight w:val="240" w:hRule="atLeast"/>
          <w:jc w:val="center"/>
        </w:trPr>
        <w:tc>
          <w:tcPr>
            <w:tcW w:w="1427"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ind w:left="160"/>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丁胺卡那霉素</w:t>
            </w:r>
          </w:p>
        </w:tc>
        <w:tc>
          <w:tcPr>
            <w:tcW w:w="2870"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10～15</w:t>
            </w:r>
          </w:p>
        </w:tc>
        <w:tc>
          <w:tcPr>
            <w:tcW w:w="1999"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肌注</w:t>
            </w:r>
          </w:p>
        </w:tc>
        <w:tc>
          <w:tcPr>
            <w:tcW w:w="3256"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ind w:left="70"/>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肾毒性、Ⅷ颅神经损害</w:t>
            </w:r>
          </w:p>
        </w:tc>
      </w:tr>
      <w:tr>
        <w:tblPrEx>
          <w:tblLayout w:type="fixed"/>
          <w:tblCellMar>
            <w:top w:w="0" w:type="dxa"/>
            <w:left w:w="0" w:type="dxa"/>
            <w:bottom w:w="0" w:type="dxa"/>
            <w:right w:w="0" w:type="dxa"/>
          </w:tblCellMar>
        </w:tblPrEx>
        <w:trPr>
          <w:trHeight w:val="238" w:hRule="atLeast"/>
          <w:jc w:val="center"/>
        </w:trPr>
        <w:tc>
          <w:tcPr>
            <w:tcW w:w="1427"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ind w:left="160"/>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卷曲霉素</w:t>
            </w:r>
          </w:p>
        </w:tc>
        <w:tc>
          <w:tcPr>
            <w:tcW w:w="2870"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10～15</w:t>
            </w:r>
          </w:p>
        </w:tc>
        <w:tc>
          <w:tcPr>
            <w:tcW w:w="1999"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肌注</w:t>
            </w:r>
          </w:p>
        </w:tc>
        <w:tc>
          <w:tcPr>
            <w:tcW w:w="3256"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ind w:left="70"/>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肾毒性、Ⅷ颅神经损害</w:t>
            </w:r>
          </w:p>
        </w:tc>
      </w:tr>
      <w:tr>
        <w:tblPrEx>
          <w:tblLayout w:type="fixed"/>
          <w:tblCellMar>
            <w:top w:w="0" w:type="dxa"/>
            <w:left w:w="0" w:type="dxa"/>
            <w:bottom w:w="0" w:type="dxa"/>
            <w:right w:w="0" w:type="dxa"/>
          </w:tblCellMar>
        </w:tblPrEx>
        <w:trPr>
          <w:trHeight w:val="236" w:hRule="atLeast"/>
          <w:jc w:val="center"/>
        </w:trPr>
        <w:tc>
          <w:tcPr>
            <w:tcW w:w="1427"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ind w:left="160"/>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环丝氨酸</w:t>
            </w:r>
          </w:p>
        </w:tc>
        <w:tc>
          <w:tcPr>
            <w:tcW w:w="2870"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10～15（不 &gt; 0.75g/d）</w:t>
            </w:r>
          </w:p>
        </w:tc>
        <w:tc>
          <w:tcPr>
            <w:tcW w:w="1999"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口服</w:t>
            </w:r>
          </w:p>
        </w:tc>
        <w:tc>
          <w:tcPr>
            <w:tcW w:w="3256" w:type="dxa"/>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ind w:left="70"/>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惊厥、精神障碍、皮疹</w:t>
            </w:r>
          </w:p>
        </w:tc>
      </w:tr>
      <w:tr>
        <w:tblPrEx>
          <w:tblLayout w:type="fixed"/>
          <w:tblCellMar>
            <w:top w:w="0" w:type="dxa"/>
            <w:left w:w="0" w:type="dxa"/>
            <w:bottom w:w="0" w:type="dxa"/>
            <w:right w:w="0" w:type="dxa"/>
          </w:tblCellMar>
        </w:tblPrEx>
        <w:trPr>
          <w:trHeight w:val="225" w:hRule="atLeast"/>
          <w:jc w:val="center"/>
        </w:trPr>
        <w:tc>
          <w:tcPr>
            <w:tcW w:w="1427" w:type="dxa"/>
            <w:tcBorders>
              <w:bottom w:val="single" w:color="000000" w:sz="4" w:space="0"/>
            </w:tcBorders>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ind w:left="160"/>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对氨柳酸</w:t>
            </w:r>
          </w:p>
        </w:tc>
        <w:tc>
          <w:tcPr>
            <w:tcW w:w="2870" w:type="dxa"/>
            <w:tcBorders>
              <w:bottom w:val="single" w:color="000000" w:sz="4" w:space="0"/>
            </w:tcBorders>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150～200</w:t>
            </w:r>
          </w:p>
        </w:tc>
        <w:tc>
          <w:tcPr>
            <w:tcW w:w="1999" w:type="dxa"/>
            <w:tcBorders>
              <w:bottom w:val="single" w:color="000000" w:sz="4" w:space="0"/>
            </w:tcBorders>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口服</w:t>
            </w:r>
          </w:p>
        </w:tc>
        <w:tc>
          <w:tcPr>
            <w:tcW w:w="3256" w:type="dxa"/>
            <w:tcBorders>
              <w:bottom w:val="single" w:color="000000" w:sz="4" w:space="0"/>
            </w:tcBorders>
            <w:vAlign w:val="center"/>
          </w:tcPr>
          <w:p>
            <w:pPr>
              <w:pStyle w:val="7"/>
              <w:keepNext w:val="0"/>
              <w:keepLines w:val="0"/>
              <w:pageBreakBefore w:val="0"/>
              <w:widowControl w:val="0"/>
              <w:kinsoku/>
              <w:wordWrap/>
              <w:overflowPunct/>
              <w:topLinePunct w:val="0"/>
              <w:autoSpaceDE/>
              <w:autoSpaceDN/>
              <w:bidi w:val="0"/>
              <w:adjustRightInd/>
              <w:snapToGrid/>
              <w:spacing w:before="0" w:line="590" w:lineRule="exact"/>
              <w:ind w:left="70"/>
              <w:jc w:val="center"/>
              <w:textAlignment w:val="auto"/>
              <w:outlineLvl w:val="9"/>
              <w:rPr>
                <w:rFonts w:hint="eastAsia"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胃肠道反应、肝毒性、过敏、皮疹和发热</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514"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三</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肺结核治疗方案</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514"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 xml:space="preserve">    1、</w:t>
      </w:r>
      <w:r>
        <w:rPr>
          <w:rFonts w:hint="eastAsia" w:ascii="仿宋_GB2312" w:hAnsi="仿宋_GB2312" w:eastAsia="仿宋_GB2312" w:cs="仿宋_GB2312"/>
          <w:b/>
          <w:bCs/>
          <w:sz w:val="32"/>
          <w:szCs w:val="32"/>
        </w:rPr>
        <w:t>无合并症及并发症的活动性肺结核患者</w:t>
      </w: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推荐方案：</w:t>
      </w:r>
      <w:r>
        <w:rPr>
          <w:rFonts w:hint="eastAsia" w:ascii="仿宋_GB2312" w:hAnsi="仿宋_GB2312" w:eastAsia="仿宋_GB2312" w:cs="仿宋_GB2312"/>
          <w:sz w:val="32"/>
          <w:szCs w:val="32"/>
        </w:rPr>
        <w:t>2HRZ/4HR</w:t>
      </w: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方案注解：</w:t>
      </w:r>
      <w:r>
        <w:rPr>
          <w:rFonts w:hint="eastAsia" w:ascii="仿宋_GB2312" w:hAnsi="仿宋_GB2312" w:eastAsia="仿宋_GB2312" w:cs="仿宋_GB2312"/>
          <w:sz w:val="32"/>
          <w:szCs w:val="32"/>
        </w:rPr>
        <w:t>总疗程6个月，强化期2个月，每日服用异烟肼、利福平、吡嗪酰胺；巩固期4个月，每日服用异烟肼、利福平。</w:t>
      </w: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如涂阳肺结核2个月末痰菌未阴转，强化期延长1个月，治疗方案为2HRZ/4HR。</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514"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血行播散型肺结核、干酪性肺炎、支气管结核等重症结核病</w:t>
      </w:r>
    </w:p>
    <w:p>
      <w:pPr>
        <w:keepNext w:val="0"/>
        <w:keepLines w:val="0"/>
        <w:pageBreakBefore w:val="0"/>
        <w:widowControl w:val="0"/>
        <w:kinsoku/>
        <w:wordWrap/>
        <w:overflowPunct/>
        <w:topLinePunct w:val="0"/>
        <w:autoSpaceDE/>
        <w:autoSpaceDN/>
        <w:bidi w:val="0"/>
        <w:adjustRightInd/>
        <w:snapToGrid/>
        <w:spacing w:line="590" w:lineRule="exact"/>
        <w:ind w:right="-514" w:firstLine="42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 推荐方案：</w:t>
      </w:r>
      <w:r>
        <w:rPr>
          <w:rFonts w:hint="eastAsia" w:ascii="仿宋_GB2312" w:hAnsi="仿宋_GB2312" w:eastAsia="仿宋_GB2312" w:cs="仿宋_GB2312"/>
          <w:sz w:val="32"/>
          <w:szCs w:val="32"/>
        </w:rPr>
        <w:t>2HRZS（E）/4HR</w:t>
      </w:r>
    </w:p>
    <w:p>
      <w:pPr>
        <w:keepNext w:val="0"/>
        <w:keepLines w:val="0"/>
        <w:pageBreakBefore w:val="0"/>
        <w:widowControl w:val="0"/>
        <w:kinsoku/>
        <w:wordWrap/>
        <w:overflowPunct/>
        <w:topLinePunct w:val="0"/>
        <w:autoSpaceDE/>
        <w:autoSpaceDN/>
        <w:bidi w:val="0"/>
        <w:adjustRightInd/>
        <w:snapToGrid/>
        <w:spacing w:line="590" w:lineRule="exact"/>
        <w:ind w:right="-514" w:firstLine="42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方案注解：</w:t>
      </w:r>
      <w:r>
        <w:rPr>
          <w:rFonts w:hint="eastAsia" w:ascii="仿宋_GB2312" w:hAnsi="仿宋_GB2312" w:eastAsia="仿宋_GB2312" w:cs="仿宋_GB2312"/>
          <w:sz w:val="32"/>
          <w:szCs w:val="32"/>
        </w:rPr>
        <w:t>总疗程6个月，强化期2个月，每日使用异烟肼、利福平、吡嗪酰胺、链霉素（或乙胺丁醇）；巩固期4个月，每日服用异烟肼、利福平。可依据病情适当延长疗程2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3个月。</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514"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结核性胸膜炎</w:t>
      </w:r>
    </w:p>
    <w:p>
      <w:pPr>
        <w:keepNext w:val="0"/>
        <w:keepLines w:val="0"/>
        <w:pageBreakBefore w:val="0"/>
        <w:widowControl w:val="0"/>
        <w:kinsoku/>
        <w:wordWrap/>
        <w:overflowPunct/>
        <w:topLinePunct w:val="0"/>
        <w:autoSpaceDE/>
        <w:autoSpaceDN/>
        <w:bidi w:val="0"/>
        <w:adjustRightInd/>
        <w:snapToGrid/>
        <w:spacing w:line="590" w:lineRule="exact"/>
        <w:ind w:right="-514" w:firstLine="42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推荐方案：</w:t>
      </w:r>
      <w:r>
        <w:rPr>
          <w:rFonts w:hint="eastAsia" w:ascii="仿宋_GB2312" w:hAnsi="仿宋_GB2312" w:eastAsia="仿宋_GB2312" w:cs="仿宋_GB2312"/>
          <w:sz w:val="32"/>
          <w:szCs w:val="32"/>
        </w:rPr>
        <w:t>2HRZ（E）/4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7HR</w:t>
      </w:r>
    </w:p>
    <w:p>
      <w:pPr>
        <w:keepNext w:val="0"/>
        <w:keepLines w:val="0"/>
        <w:pageBreakBefore w:val="0"/>
        <w:widowControl w:val="0"/>
        <w:kinsoku/>
        <w:wordWrap/>
        <w:overflowPunct/>
        <w:topLinePunct w:val="0"/>
        <w:autoSpaceDE/>
        <w:autoSpaceDN/>
        <w:bidi w:val="0"/>
        <w:adjustRightInd/>
        <w:snapToGrid/>
        <w:spacing w:line="590" w:lineRule="exact"/>
        <w:ind w:right="-514" w:firstLine="42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方案注解：</w:t>
      </w:r>
      <w:r>
        <w:rPr>
          <w:rFonts w:hint="eastAsia" w:ascii="仿宋_GB2312" w:hAnsi="仿宋_GB2312" w:eastAsia="仿宋_GB2312" w:cs="仿宋_GB2312"/>
          <w:sz w:val="32"/>
          <w:szCs w:val="32"/>
        </w:rPr>
        <w:t>总疗程6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9个月，强化期2个月，每日服用异烟肼、利福平、吡嗪酰胺，年长有表达能力儿童可加用乙胺丁醇；巩固期4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7个月，每日服用异烟肼、利福平。可依据病情适当延长疗程2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3个月。</w:t>
      </w: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注：</w:t>
      </w:r>
      <w:r>
        <w:rPr>
          <w:rFonts w:hint="eastAsia" w:ascii="仿宋_GB2312" w:hAnsi="仿宋_GB2312" w:eastAsia="仿宋_GB2312" w:cs="仿宋_GB2312"/>
          <w:sz w:val="32"/>
          <w:szCs w:val="32"/>
        </w:rPr>
        <w:t>无正确表达能力的儿童慎用乙胺丁醇</w:t>
      </w:r>
    </w:p>
    <w:p>
      <w:pPr>
        <w:keepNext w:val="0"/>
        <w:keepLines w:val="0"/>
        <w:pageBreakBefore w:val="0"/>
        <w:widowControl w:val="0"/>
        <w:kinsoku/>
        <w:wordWrap/>
        <w:overflowPunct/>
        <w:topLinePunct w:val="0"/>
        <w:autoSpaceDE/>
        <w:autoSpaceDN/>
        <w:bidi w:val="0"/>
        <w:adjustRightInd/>
        <w:snapToGrid/>
        <w:spacing w:line="590" w:lineRule="exact"/>
        <w:ind w:right="-514"/>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【附录】</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几种常见的抗结核药物：</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异烟肼（INH或H）目前仍是小儿化疗的首选药物，其特点是：</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①疗效高：INH口服后吸收迅速，1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2小时后血浓度可达5μg/ml。INH能在化疗头几天杀死病灶中结核菌群的90%。INH杀菌作用不受环境酸碱度影响。</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②异烟肼INH分子小，通透性强，可渗透到各种组织及体液中。肺中浓度可与血浓度相似，又能渗透到干酪病灶中。</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③作用机理可能是抑制结核分支杆菌酸的合成，影响结核菌DNA的合成。对细胞内、外结核菌均有杀灭作用，对干酪病灶内代谢缓慢的持存菌亦有一定作用，因此是全杀菌药。是标准化疗方案与短程化疗方案中自始至终全程应用的药物。</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④副作用少，安全性好，INH所致肝损害在小儿明显低于成人，有报告发生率为0.5%。INH对肝的毒性作用在剂量&gt;10㎎/㎏/日时有所增加。</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⑤价格低廉，用药方便：口服，每天一次顿服，方便易执行。</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利福平（RFP或R）为短程化疗主要药物，其特点：</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①杀菌作用发生最快。从药物接触结核菌到发生杀菌效力仅需1小时。RFP属低浓度抑菌，高浓度杀菌药。不但对细胞外菌且对细胞内休眠菌亦可杀灭，故也是全杀菌药，其作用机制可能是抑制结核菌RNA聚合酶活性从而阻碍核糖核酸和蛋白质的合成。</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②口服后吸收分布良好。如饭后服用则血浓度低，故应于早餐前1小时顿服。其渗透入体腔量为血浓度的1/3。</w:t>
      </w:r>
    </w:p>
    <w:p>
      <w:pPr>
        <w:keepNext w:val="0"/>
        <w:keepLines w:val="0"/>
        <w:pageBreakBefore w:val="0"/>
        <w:widowControl w:val="0"/>
        <w:kinsoku/>
        <w:wordWrap/>
        <w:overflowPunct/>
        <w:topLinePunct w:val="0"/>
        <w:autoSpaceDE/>
        <w:autoSpaceDN/>
        <w:bidi w:val="0"/>
        <w:adjustRightInd/>
        <w:snapToGrid/>
        <w:spacing w:line="590" w:lineRule="exact"/>
        <w:ind w:right="-516" w:firstLine="3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③RFP与INH及EMB有协同作用。INH和RFP联用灭菌作用比任何其他联合用药均强，为短程化疗最佳联合。</w:t>
      </w:r>
    </w:p>
    <w:p>
      <w:pPr>
        <w:keepNext w:val="0"/>
        <w:keepLines w:val="0"/>
        <w:pageBreakBefore w:val="0"/>
        <w:widowControl w:val="0"/>
        <w:kinsoku/>
        <w:wordWrap/>
        <w:overflowPunct/>
        <w:topLinePunct w:val="0"/>
        <w:autoSpaceDE/>
        <w:autoSpaceDN/>
        <w:bidi w:val="0"/>
        <w:adjustRightInd/>
        <w:snapToGrid/>
        <w:spacing w:line="590" w:lineRule="exact"/>
        <w:ind w:right="-516" w:firstLine="3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④RFP主要副作用是肝损害，剂量大时毒副反应增多。与INH联合用药可增加肝毒作用，尤当二者剂量均大时。故小儿用INH+RFP时二者剂量最好各不超过10㎎/㎏/日，RFP与PZA合用亦可增加肝损害机会。</w:t>
      </w:r>
    </w:p>
    <w:p>
      <w:pPr>
        <w:keepNext w:val="0"/>
        <w:keepLines w:val="0"/>
        <w:pageBreakBefore w:val="0"/>
        <w:widowControl w:val="0"/>
        <w:kinsoku/>
        <w:wordWrap/>
        <w:overflowPunct/>
        <w:topLinePunct w:val="0"/>
        <w:autoSpaceDE/>
        <w:autoSpaceDN/>
        <w:bidi w:val="0"/>
        <w:adjustRightInd/>
        <w:snapToGrid/>
        <w:spacing w:line="590" w:lineRule="exact"/>
        <w:ind w:right="-516" w:firstLine="3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⑤产生耐药变异菌株较SM及INH为少。但不可单用RFP。否则耐药菌株产生且可为高耐药。</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吡嗪酰胺（PZA或Z）：最早应用于50年代，但由于当时使用剂量过大（成人日量3克），疗程长，致毒副反应严重而停止使用。近二十年来通过实验室研究及临床观察，对其有了新认识和重新评价。经减低剂量后现已为短程化疗主要药物之一，其特点：</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①PZA作用受环境酸碱度影响大，当pH5.0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5.5时则对结核菌可发挥抑菌甚至杀菌作用。</w:t>
      </w:r>
    </w:p>
    <w:p>
      <w:pPr>
        <w:keepNext w:val="0"/>
        <w:keepLines w:val="0"/>
        <w:pageBreakBefore w:val="0"/>
        <w:widowControl w:val="0"/>
        <w:kinsoku/>
        <w:wordWrap/>
        <w:overflowPunct/>
        <w:topLinePunct w:val="0"/>
        <w:autoSpaceDE/>
        <w:autoSpaceDN/>
        <w:bidi w:val="0"/>
        <w:adjustRightInd/>
        <w:snapToGrid/>
        <w:spacing w:line="590" w:lineRule="exact"/>
        <w:ind w:right="-516" w:firstLine="3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②PZA口服后吸收极好，口服20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25㎎/㎏/日PZA血浓度可达30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50μg/ml，在巨噬细胞内PZA在浓度20μg/ml时可抑制结核菌生长。细胞内休眠菌的存在是结核复发的基础，故PZA对预防结核复发有重要意义。PZA属半杀菌药。</w:t>
      </w:r>
    </w:p>
    <w:p>
      <w:pPr>
        <w:keepNext w:val="0"/>
        <w:keepLines w:val="0"/>
        <w:pageBreakBefore w:val="0"/>
        <w:widowControl w:val="0"/>
        <w:kinsoku/>
        <w:wordWrap/>
        <w:overflowPunct/>
        <w:topLinePunct w:val="0"/>
        <w:autoSpaceDE/>
        <w:autoSpaceDN/>
        <w:bidi w:val="0"/>
        <w:adjustRightInd/>
        <w:snapToGrid/>
        <w:spacing w:line="590" w:lineRule="exact"/>
        <w:ind w:right="-516" w:firstLine="3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③PZA能渗透到很多组织及体液包括脑脊液。</w:t>
      </w:r>
    </w:p>
    <w:p>
      <w:pPr>
        <w:keepNext w:val="0"/>
        <w:keepLines w:val="0"/>
        <w:pageBreakBefore w:val="0"/>
        <w:widowControl w:val="0"/>
        <w:kinsoku/>
        <w:wordWrap/>
        <w:overflowPunct/>
        <w:topLinePunct w:val="0"/>
        <w:autoSpaceDE/>
        <w:autoSpaceDN/>
        <w:bidi w:val="0"/>
        <w:adjustRightInd/>
        <w:snapToGrid/>
        <w:spacing w:line="590" w:lineRule="exact"/>
        <w:ind w:right="-516" w:firstLine="3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④PZA毒副作用与剂量有关，近年来剂量降低到20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30㎎/㎏/日，疗程3个月，已证明有确效且毒副作用大大减少。此外可见高尿酸血症，主要见于成人，儿童尚未见报道。但真正痛风少见。</w:t>
      </w:r>
    </w:p>
    <w:p>
      <w:pPr>
        <w:keepNext w:val="0"/>
        <w:keepLines w:val="0"/>
        <w:pageBreakBefore w:val="0"/>
        <w:widowControl w:val="0"/>
        <w:kinsoku/>
        <w:wordWrap/>
        <w:overflowPunct/>
        <w:topLinePunct w:val="0"/>
        <w:autoSpaceDE/>
        <w:autoSpaceDN/>
        <w:bidi w:val="0"/>
        <w:adjustRightInd/>
        <w:snapToGrid/>
        <w:spacing w:line="590" w:lineRule="exact"/>
        <w:ind w:right="-516" w:firstLine="3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⑤单一用药：PZA极易产生耐药，PZA与INH联用可增强杀菌作用，目前INH+RFP+PZA为最强大灭菌组合。</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链霉素（SM或S）：其特点：</w:t>
      </w:r>
    </w:p>
    <w:p>
      <w:pPr>
        <w:keepNext w:val="0"/>
        <w:keepLines w:val="0"/>
        <w:pageBreakBefore w:val="0"/>
        <w:widowControl w:val="0"/>
        <w:kinsoku/>
        <w:wordWrap/>
        <w:overflowPunct/>
        <w:topLinePunct w:val="0"/>
        <w:autoSpaceDE/>
        <w:autoSpaceDN/>
        <w:bidi w:val="0"/>
        <w:adjustRightInd/>
        <w:snapToGrid/>
        <w:spacing w:line="590" w:lineRule="exact"/>
        <w:ind w:right="-516" w:firstLine="3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①SM在细胞外，pH中性和偏碱性环境中发挥作用，在pH&gt;8时抗菌作用最强，对生长繁殖活跃的细胞外结核菌有杀菌作用，对细胞内菌无活性，故称为半杀菌药。其作用机制可能是在核糖体水平阻碍结核菌蛋白合成。</w:t>
      </w:r>
    </w:p>
    <w:p>
      <w:pPr>
        <w:keepNext w:val="0"/>
        <w:keepLines w:val="0"/>
        <w:pageBreakBefore w:val="0"/>
        <w:widowControl w:val="0"/>
        <w:kinsoku/>
        <w:wordWrap/>
        <w:overflowPunct/>
        <w:topLinePunct w:val="0"/>
        <w:autoSpaceDE/>
        <w:autoSpaceDN/>
        <w:bidi w:val="0"/>
        <w:adjustRightInd/>
        <w:snapToGrid/>
        <w:spacing w:line="590" w:lineRule="exact"/>
        <w:ind w:right="-516" w:firstLine="3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②SM对新鲜渗出性病灶和空洞中结核菌抗菌作用最强，故对治疗小儿急性血行播散结核最为适宜。</w:t>
      </w:r>
    </w:p>
    <w:p>
      <w:pPr>
        <w:keepNext w:val="0"/>
        <w:keepLines w:val="0"/>
        <w:pageBreakBefore w:val="0"/>
        <w:widowControl w:val="0"/>
        <w:kinsoku/>
        <w:wordWrap/>
        <w:overflowPunct/>
        <w:topLinePunct w:val="0"/>
        <w:autoSpaceDE/>
        <w:autoSpaceDN/>
        <w:bidi w:val="0"/>
        <w:adjustRightInd/>
        <w:snapToGrid/>
        <w:spacing w:line="590" w:lineRule="exact"/>
        <w:ind w:right="-516" w:firstLine="3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③SM能渗入肺、肝、肾等脏器及浆膜腔，SM不能进入巨噬细胞，又不能在酸性环境中起作用，故SM对巨噬细胞内休眠菌无能为力。</w:t>
      </w:r>
    </w:p>
    <w:p>
      <w:pPr>
        <w:keepNext w:val="0"/>
        <w:keepLines w:val="0"/>
        <w:pageBreakBefore w:val="0"/>
        <w:widowControl w:val="0"/>
        <w:kinsoku/>
        <w:wordWrap/>
        <w:overflowPunct/>
        <w:topLinePunct w:val="0"/>
        <w:autoSpaceDE/>
        <w:autoSpaceDN/>
        <w:bidi w:val="0"/>
        <w:adjustRightInd/>
        <w:snapToGrid/>
        <w:spacing w:line="590" w:lineRule="exact"/>
        <w:ind w:right="-516" w:firstLine="3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④SM毒副作用主要是听力障碍和耳聋，目前采用20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30㎎/㎏/日疗程2月，副反应已较少发生。但在应用时需进行电测听监测，对家族中有药物性耳聋患儿应禁用。</w:t>
      </w:r>
    </w:p>
    <w:p>
      <w:pPr>
        <w:keepNext w:val="0"/>
        <w:keepLines w:val="0"/>
        <w:pageBreakBefore w:val="0"/>
        <w:widowControl w:val="0"/>
        <w:kinsoku/>
        <w:wordWrap/>
        <w:overflowPunct/>
        <w:topLinePunct w:val="0"/>
        <w:autoSpaceDE/>
        <w:autoSpaceDN/>
        <w:bidi w:val="0"/>
        <w:adjustRightInd/>
        <w:snapToGrid/>
        <w:spacing w:line="590" w:lineRule="exact"/>
        <w:ind w:right="-516" w:firstLine="3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⑤SM单用易产生耐药。而SM菌毒力仍强。另外耐药菌有时可成为SM依赖菌，耐药后继续使用不但无益而且有害。故一旦发现耐药应立即停用。</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乙胺丁醇（EMB或E）为抑菌药。近年来在标准化疗中已取代PAS。有人在短程化疗中取代了SM，其特点：</w:t>
      </w:r>
    </w:p>
    <w:p>
      <w:pPr>
        <w:keepNext w:val="0"/>
        <w:keepLines w:val="0"/>
        <w:pageBreakBefore w:val="0"/>
        <w:widowControl w:val="0"/>
        <w:kinsoku/>
        <w:wordWrap/>
        <w:overflowPunct/>
        <w:topLinePunct w:val="0"/>
        <w:autoSpaceDE/>
        <w:autoSpaceDN/>
        <w:bidi w:val="0"/>
        <w:adjustRightInd/>
        <w:snapToGrid/>
        <w:spacing w:line="590" w:lineRule="exact"/>
        <w:ind w:right="-516" w:firstLine="3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①EMB在pH中性时作用最强。其作用机制不明，可能与抑制生长繁殖期细菌的RNA合成有关。</w:t>
      </w:r>
    </w:p>
    <w:p>
      <w:pPr>
        <w:keepNext w:val="0"/>
        <w:keepLines w:val="0"/>
        <w:pageBreakBefore w:val="0"/>
        <w:widowControl w:val="0"/>
        <w:kinsoku/>
        <w:wordWrap/>
        <w:overflowPunct/>
        <w:topLinePunct w:val="0"/>
        <w:autoSpaceDE/>
        <w:autoSpaceDN/>
        <w:bidi w:val="0"/>
        <w:adjustRightInd/>
        <w:snapToGrid/>
        <w:spacing w:line="590" w:lineRule="exact"/>
        <w:ind w:right="-516" w:firstLine="3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②EMB与INH、RFP等联合应用，可延缓二者耐药性产生，但不够有力，故不是短程化疗之主要药物。</w:t>
      </w:r>
    </w:p>
    <w:p>
      <w:pPr>
        <w:keepNext w:val="0"/>
        <w:keepLines w:val="0"/>
        <w:pageBreakBefore w:val="0"/>
        <w:widowControl w:val="0"/>
        <w:kinsoku/>
        <w:wordWrap/>
        <w:overflowPunct/>
        <w:topLinePunct w:val="0"/>
        <w:autoSpaceDE/>
        <w:autoSpaceDN/>
        <w:bidi w:val="0"/>
        <w:adjustRightInd/>
        <w:snapToGrid/>
        <w:spacing w:line="590" w:lineRule="exact"/>
        <w:ind w:right="-516" w:firstLine="3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③EMB副作用主要为球后视神经炎，视力减退，中心盲点和绿视能力丧失。副作用发生与剂量有关，当日剂量由25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50㎎/㎏减低到15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25㎎/㎏时副作用大大减少。</w:t>
      </w:r>
    </w:p>
    <w:p>
      <w:pPr>
        <w:keepNext w:val="0"/>
        <w:keepLines w:val="0"/>
        <w:pageBreakBefore w:val="0"/>
        <w:widowControl w:val="0"/>
        <w:kinsoku/>
        <w:wordWrap/>
        <w:overflowPunct/>
        <w:topLinePunct w:val="0"/>
        <w:autoSpaceDE/>
        <w:autoSpaceDN/>
        <w:bidi w:val="0"/>
        <w:adjustRightInd/>
        <w:snapToGrid/>
        <w:spacing w:line="590" w:lineRule="exact"/>
        <w:ind w:right="-516" w:firstLine="36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附</w:t>
      </w:r>
      <w:r>
        <w:rPr>
          <w:rFonts w:hint="eastAsia" w:ascii="仿宋_GB2312" w:hAnsi="仿宋_GB2312" w:eastAsia="仿宋_GB2312" w:cs="仿宋_GB2312"/>
          <w:b/>
          <w:sz w:val="32"/>
          <w:szCs w:val="32"/>
        </w:rPr>
        <w:t>测试题</w:t>
      </w:r>
      <w:r>
        <w:rPr>
          <w:rFonts w:hint="eastAsia" w:ascii="仿宋_GB2312" w:hAnsi="仿宋_GB2312" w:eastAsia="仿宋_GB2312" w:cs="仿宋_GB2312"/>
          <w:b/>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1、具备以下任何一项症状为肺结核可疑症状患者（</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A、咳嗽、咳痰≥2周</w:t>
      </w:r>
      <w:r>
        <w:rPr>
          <w:rFonts w:hint="eastAsia" w:ascii="仿宋_GB2312" w:hAnsi="仿宋_GB2312" w:eastAsia="仿宋_GB2312" w:cs="仿宋_GB2312"/>
          <w:sz w:val="32"/>
          <w:szCs w:val="32"/>
          <w:lang w:val="en-US" w:eastAsia="zh-CN"/>
        </w:rPr>
        <w:t xml:space="preserve">        </w:t>
      </w:r>
      <w:bookmarkStart w:id="0" w:name="_GoBack"/>
      <w:bookmarkEnd w:id="0"/>
      <w:r>
        <w:rPr>
          <w:rFonts w:hint="eastAsia" w:ascii="仿宋_GB2312" w:hAnsi="仿宋_GB2312" w:eastAsia="仿宋_GB2312" w:cs="仿宋_GB2312"/>
          <w:sz w:val="32"/>
          <w:szCs w:val="32"/>
        </w:rPr>
        <w:t>B、咯血</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C、血痰</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D、浓痰</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2、下列哪种抗结核药物有肾功能损害（</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A、利福平</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B、吡嗪酰胺</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C、链霉素</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D、异烟肼</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3、控制结核病流行的最主要措施是（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A、发现并治愈传染源</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B、预防性服药</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C、接种卡介苗</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D、及时发现肺结核患者</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4、肺结核主要传播途径是（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A、吸入含结核菌的飞沫</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B、与肺结核病人共餐</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C、与肺结核病人握手</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D、吸入含结核菌的尘埃</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5、以下哪个不是一线抗结核药物（</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A、异烟肼</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B、利福平</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C、乙胺丁醇</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D、氧氟沙星</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6、肺结核患者的哪种标本传染性最强（</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A、血液</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B、痰液</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C、汗液</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D、尿液</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7、肺结核诊断“金标准”是什么（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A、胸部X线</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B、胸部CT</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C、痰结核菌检查</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D、结核菌素试验</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8、抗结核治疗必须遵循的原则是（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A、早期、联合</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B、早期、联合、适量</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C、早期、联合、适量、规律</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D、早期、联合、适量、规律、全程</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9、结核病的病原体是（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A、病毒</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B、结核分枝杆菌</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C、寄生虫</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D、细菌</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10、结核病的病原学检查包括（</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A、痰涂片</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B、痰培养</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C、结核病分子检查</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D、以上都是</w:t>
      </w: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516"/>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outlineLvl w:val="9"/>
        <w:rPr>
          <w:rFonts w:hint="eastAsia" w:ascii="仿宋_GB2312" w:hAnsi="仿宋_GB2312" w:eastAsia="仿宋_GB2312" w:cs="仿宋_GB2312"/>
          <w:sz w:val="32"/>
          <w:szCs w:val="32"/>
        </w:rPr>
      </w:pPr>
    </w:p>
    <w:sectPr>
      <w:headerReference r:id="rId3" w:type="default"/>
      <w:footerReference r:id="rId4" w:type="default"/>
      <w:pgSz w:w="11906" w:h="16838"/>
      <w:pgMar w:top="1440" w:right="1800" w:bottom="1440" w:left="1800"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jc w:val="both"/>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A311F3"/>
    <w:rsid w:val="217F6C99"/>
    <w:rsid w:val="27396D8B"/>
    <w:rsid w:val="2A9E261A"/>
    <w:rsid w:val="43B420C9"/>
    <w:rsid w:val="53A311F3"/>
    <w:rsid w:val="5785727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customStyle="1" w:styleId="6">
    <w:name w:val="_Style 2"/>
    <w:basedOn w:val="1"/>
    <w:qFormat/>
    <w:uiPriority w:val="1"/>
    <w:pPr>
      <w:spacing w:before="23"/>
      <w:ind w:left="778" w:firstLine="351"/>
    </w:pPr>
    <w:rPr>
      <w:rFonts w:ascii="宋体" w:hAnsi="宋体" w:eastAsia="宋体" w:cs="宋体"/>
      <w:lang w:val="zh-CN" w:eastAsia="zh-CN" w:bidi="zh-CN"/>
    </w:rPr>
  </w:style>
  <w:style w:type="paragraph" w:customStyle="1" w:styleId="7">
    <w:name w:val="Table Paragraph"/>
    <w:basedOn w:val="1"/>
    <w:qFormat/>
    <w:uiPriority w:val="1"/>
    <w:pPr>
      <w:spacing w:before="14"/>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2021-02-25T07:00:00Z</dcterms:created>
  <dc:creator>user</dc:creator>
  <cp:lastModifiedBy>user</cp:lastModifiedBy>
  <dcterms:modified xsi:type="dcterms:W3CDTF">2021-04-01T06:44:27Z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